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خارجی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1: </w:t>
      </w:r>
      <w:r w:rsidDel="00000000" w:rsidR="00000000" w:rsidRPr="00000000">
        <w:rPr>
          <w:rtl w:val="1"/>
        </w:rPr>
        <w:t xml:space="preserve">الف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مشخصات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 1 :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تبلیغاتی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 2 :</w:t>
      </w:r>
      <w:r w:rsidDel="00000000" w:rsidR="00000000" w:rsidRPr="00000000">
        <w:rPr>
          <w:rtl w:val="1"/>
        </w:rPr>
        <w:t xml:space="preserve">بلیط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سیستم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رزرواسیون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آنلاین</w:t>
      </w:r>
      <w:r w:rsidDel="00000000" w:rsidR="00000000" w:rsidRPr="00000000">
        <w:rPr>
          <w:rtl w:val="1"/>
        </w:rPr>
        <w:t xml:space="preserve"> </w:t>
      </w:r>
      <w:commentRangeStart w:id="0"/>
      <w:r w:rsidDel="00000000" w:rsidR="00000000" w:rsidRPr="00000000">
        <w:rPr>
          <w:rtl w:val="1"/>
        </w:rPr>
        <w:t xml:space="preserve">به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استرداد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بلیط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گارانتی</w:t>
      </w:r>
      <w:r w:rsidDel="00000000" w:rsidR="00000000" w:rsidRPr="00000000">
        <w:rPr>
          <w:rtl w:val="1"/>
        </w:rPr>
        <w:t xml:space="preserve"> ) 2.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استرداد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ایرلاین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 3: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لیدر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 4 :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بند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لیکن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20)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 :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مبنای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وسایرارزهای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3: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نرسیدن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حداقل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مقتضی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 1 :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نگرداند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وصولی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 2 :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هواپیمایی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وارده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ویزا</w:t>
      </w:r>
      <w:r w:rsidDel="00000000" w:rsidR="00000000" w:rsidRPr="00000000">
        <w:rPr>
          <w:rtl w:val="1"/>
        </w:rPr>
        <w:t xml:space="preserve">، ....)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4: 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: 1-4: </w:t>
      </w:r>
      <w:r w:rsidDel="00000000" w:rsidR="00000000" w:rsidRPr="00000000">
        <w:rPr>
          <w:rtl w:val="1"/>
        </w:rPr>
        <w:t xml:space="preserve">ساعت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اتاقهای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حاکم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واچر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رعایت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زودتر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هیچ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 2-4: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انفرادی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نفره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. 3-4: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پذیرش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هماهنگی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تاییدیه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وجهی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. 4-4: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اتاقهای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تخته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تخت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موقتا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5-4: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کنسلی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کارشناس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بفرمایید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5: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چارتر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هواپیمایی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6: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ایرلاین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مساعی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7: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فرودگاه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گذرنامه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ذیربط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نگهداری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فرودگاه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هیچگونه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8: </w:t>
      </w:r>
      <w:r w:rsidDel="00000000" w:rsidR="00000000" w:rsidRPr="00000000">
        <w:rPr>
          <w:rtl w:val="1"/>
        </w:rPr>
        <w:t xml:space="preserve">درصورتیکه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سفارتخانه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تضمینی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میزان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ضمانت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کتبی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سپرده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تصویر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تاییداصالت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فورا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نسبت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سیستم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9: </w:t>
      </w:r>
      <w:r w:rsidDel="00000000" w:rsidR="00000000" w:rsidRPr="00000000">
        <w:rPr>
          <w:rtl w:val="1"/>
        </w:rPr>
        <w:t xml:space="preserve">درصورتیکه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مشخصی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نمایند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خسارت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وارده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یاضبط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10: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ویزا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درصورتیکه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ویزا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تهیه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بلیط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رزرو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مابقی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11: </w:t>
      </w:r>
      <w:r w:rsidDel="00000000" w:rsidR="00000000" w:rsidRPr="00000000">
        <w:rPr>
          <w:rtl w:val="1"/>
        </w:rPr>
        <w:t xml:space="preserve">درصورتیکه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سرپرست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راهنمایان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مزاحمتی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مرتکب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شئون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سرپرست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صورتجلسه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اعضای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تصمیم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گزارش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12: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انصراف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تورغیرچارتری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انصراف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کتبی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همراهی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تورهای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غیرچارتری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10% </w:t>
      </w:r>
      <w:r w:rsidDel="00000000" w:rsidR="00000000" w:rsidRPr="00000000">
        <w:rPr>
          <w:rtl w:val="1"/>
        </w:rPr>
        <w:t xml:space="preserve">قیمت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21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20% </w:t>
      </w:r>
      <w:r w:rsidDel="00000000" w:rsidR="00000000" w:rsidRPr="00000000">
        <w:rPr>
          <w:rtl w:val="1"/>
        </w:rPr>
        <w:t xml:space="preserve">قیمت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21 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72 </w:t>
      </w:r>
      <w:r w:rsidDel="00000000" w:rsidR="00000000" w:rsidRPr="00000000">
        <w:rPr>
          <w:rtl w:val="1"/>
        </w:rPr>
        <w:t xml:space="preserve">ساعت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30% </w:t>
      </w:r>
      <w:r w:rsidDel="00000000" w:rsidR="00000000" w:rsidRPr="00000000">
        <w:rPr>
          <w:rtl w:val="1"/>
        </w:rPr>
        <w:t xml:space="preserve">قیمت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72 </w:t>
      </w:r>
      <w:r w:rsidDel="00000000" w:rsidR="00000000" w:rsidRPr="00000000">
        <w:rPr>
          <w:rtl w:val="1"/>
        </w:rPr>
        <w:t xml:space="preserve">ساعت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50% </w:t>
      </w:r>
      <w:r w:rsidDel="00000000" w:rsidR="00000000" w:rsidRPr="00000000">
        <w:rPr>
          <w:rtl w:val="1"/>
        </w:rPr>
        <w:t xml:space="preserve">قیمت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مابقی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نرخی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1 :</w:t>
      </w:r>
      <w:r w:rsidDel="00000000" w:rsidR="00000000" w:rsidRPr="00000000">
        <w:rPr>
          <w:rtl w:val="1"/>
        </w:rPr>
        <w:t xml:space="preserve">درصورتیکه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ورزد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نوشو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کلیه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محاسبه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2: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چارتر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گارانتی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سوخت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13: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عادی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فورس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نمایندگی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پیگیری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انصراف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کتبی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14: </w:t>
      </w:r>
      <w:r w:rsidDel="00000000" w:rsidR="00000000" w:rsidRPr="00000000">
        <w:rPr>
          <w:rtl w:val="1"/>
        </w:rPr>
        <w:t xml:space="preserve">رعایت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شئونات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اخلاقیات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رعایت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ارتکاب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داروهایی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احیانا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برعهده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کشورها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ممنوعیت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دارویی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رفتاری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فرهنگی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...)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کتبی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15: </w:t>
      </w:r>
      <w:r w:rsidDel="00000000" w:rsidR="00000000" w:rsidRPr="00000000">
        <w:rPr>
          <w:rtl w:val="1"/>
        </w:rPr>
        <w:t xml:space="preserve">ویزا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ویزا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ویزای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مرفوض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تاخیر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درصورتیکه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مرفوض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تاخیر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درخواستی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بستگان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پدر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مادر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همسر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فرزند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ویزا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جریمه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مابقی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16: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17: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روادیدوتحویل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سفارتخانه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بگیرد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بایستی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18: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معادل</w:t>
      </w:r>
      <w:r w:rsidDel="00000000" w:rsidR="00000000" w:rsidRPr="00000000">
        <w:rPr>
          <w:rtl w:val="1"/>
        </w:rPr>
        <w:t xml:space="preserve"> 70 </w:t>
      </w:r>
      <w:r w:rsidDel="00000000" w:rsidR="00000000" w:rsidRPr="00000000">
        <w:rPr>
          <w:rtl w:val="1"/>
        </w:rPr>
        <w:t xml:space="preserve">درصد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تسویه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19: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احتیاج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ضمانتنامه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سفارتخانه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بایستی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هماهنگی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کنسولگری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سفارتخانه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ذیربط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مذکور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سفارتخانه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نگردد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جرائم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سفارتخانه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ویزا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جریمه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وهتل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20: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ترانسفر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فرودگاهی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شخصا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بایستی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پیوستن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21: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هواپیمائی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فرودگاه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فرودگاه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ترانسفر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22: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23: </w:t>
      </w:r>
      <w:r w:rsidDel="00000000" w:rsidR="00000000" w:rsidRPr="00000000">
        <w:rPr>
          <w:rtl w:val="1"/>
        </w:rPr>
        <w:t xml:space="preserve">هرگونه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افزایش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قیمت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افزایش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عوارضی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میکند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24: </w:t>
      </w:r>
      <w:r w:rsidDel="00000000" w:rsidR="00000000" w:rsidRPr="00000000">
        <w:rPr>
          <w:rtl w:val="1"/>
        </w:rPr>
        <w:t xml:space="preserve">چنانچه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جلوگیری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نمایند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سرپرست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25: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عینا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درسطحی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نگردد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حکم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پذیرش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26: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خریداری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اختیاری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27: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مدت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توضیحات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میبایست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تصویر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محدودیت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حاشیه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مکتوب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28: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دستورالعمل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ابلاغی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اقدامات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پوشش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تکلیفی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اختیاری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حادثه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پوشش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29: </w:t>
      </w:r>
      <w:r w:rsidDel="00000000" w:rsidR="00000000" w:rsidRPr="00000000">
        <w:rPr>
          <w:rtl w:val="1"/>
        </w:rPr>
        <w:t xml:space="preserve">کنترل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همراهان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30: </w:t>
      </w:r>
      <w:r w:rsidDel="00000000" w:rsidR="00000000" w:rsidRPr="00000000">
        <w:rPr>
          <w:rtl w:val="1"/>
        </w:rPr>
        <w:t xml:space="preserve">امضای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توضیحا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تبصرهای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امضاءشده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قرارداهای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ءالکترونیکی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پذیرد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امضای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الکترونیکی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0"/>
        </w:rPr>
        <w:t xml:space="preserve">Electronic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Signature</w:t>
      </w:r>
      <w:r w:rsidDel="00000000" w:rsidR="00000000" w:rsidRPr="00000000">
        <w:rPr>
          <w:rtl w:val="1"/>
        </w:rPr>
        <w:t xml:space="preserve">( : </w:t>
      </w:r>
      <w:r w:rsidDel="00000000" w:rsidR="00000000" w:rsidRPr="00000000">
        <w:rPr>
          <w:rtl w:val="1"/>
        </w:rPr>
        <w:t xml:space="preserve">عبارت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پیام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شناسائی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امضاکننده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پیام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گیرد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مکتوب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تأیید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الحاقیه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مجازی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واتس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........)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گیرد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31: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لیکن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مترقبه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شورش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اقدامات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تروریستی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اعتصاب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مشکلاتی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کنترل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مبنای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ماژور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بخشنامه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32: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اتفاقی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نمایندگی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جمهوری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اسلامی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33: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گذرنامه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شناسنامه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سربرگ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34: </w:t>
      </w:r>
      <w:r w:rsidDel="00000000" w:rsidR="00000000" w:rsidRPr="00000000">
        <w:rPr>
          <w:rtl w:val="1"/>
        </w:rPr>
        <w:t xml:space="preserve">کارگزار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دفترچه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35: </w:t>
      </w:r>
      <w:r w:rsidDel="00000000" w:rsidR="00000000" w:rsidRPr="00000000">
        <w:rPr>
          <w:rtl w:val="1"/>
        </w:rPr>
        <w:t xml:space="preserve">رسیدگی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میراث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فرهنگی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صنایع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گردشگری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بدیهی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331 </w:t>
      </w:r>
      <w:r w:rsidDel="00000000" w:rsidR="00000000" w:rsidRPr="00000000">
        <w:rPr>
          <w:rtl w:val="1"/>
        </w:rPr>
        <w:t xml:space="preserve">آئین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دهناد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کوشا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17112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قضائی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Behnam sheibani" w:id="0" w:date="2023-06-10T11:03:15Z"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دلتابان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